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175-70183</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Crimea Patriot Centre</w:t>
      </w:r>
      <w:r>
        <w:rPr>
          <w:rFonts w:ascii="Arial" w:hAnsi="Arial" w:eastAsia="Arial"/>
        </w:rPr>
        <w:t xml:space="preserve"> </w:t>
      </w:r>
      <w:r>
        <w:br/>
      </w:r>
      <w:r>
        <w:rPr>
          <w:rFonts w:ascii="Arial" w:hAnsi="Arial" w:eastAsia="Arial"/>
          <w:b w:val="true"/>
        </w:rPr>
        <w:t xml:space="preserve">DOF: </w:t>
      </w:r>
      <w:r>
        <w:rPr>
          <w:rFonts w:ascii="Arial" w:hAnsi="Arial" w:eastAsia="Arial"/>
        </w:rPr>
        <w:t xml:space="preserve">15 Jun 2015</w:t>
      </w:r>
      <w:r>
        <w:rPr>
          <w:rFonts w:ascii="Arial" w:hAnsi="Arial" w:eastAsia="Arial"/>
        </w:rPr>
        <w:t xml:space="preserve"> </w:t>
      </w:r>
      <w:r>
        <w:rPr>
          <w:rFonts w:ascii="Arial" w:hAnsi="Arial" w:eastAsia="Arial"/>
          <w:b w:val="true"/>
        </w:rPr>
        <w:t xml:space="preserve">Good quality a.k.a.: </w:t>
      </w:r>
      <w:r>
        <w:rPr>
          <w:rFonts w:ascii="Arial" w:hAnsi="Arial" w:eastAsia="Arial"/>
          <w:b w:val="true"/>
        </w:rPr>
        <w:t xml:space="preserve">a) </w:t>
      </w:r>
      <w:r>
        <w:rPr>
          <w:rFonts w:ascii="Arial" w:hAnsi="Arial" w:eastAsia="Arial"/>
        </w:rPr>
        <w:t xml:space="preserve">KrymPatriotCentre</w:t>
      </w:r>
      <w:r>
        <w:rPr>
          <w:rFonts w:ascii="Arial" w:hAnsi="Arial" w:eastAsia="Arial"/>
        </w:rPr>
        <w:t xml:space="preserve"> </w:t>
      </w:r>
      <w:r>
        <w:rPr>
          <w:rFonts w:ascii="Arial" w:hAnsi="Arial" w:eastAsia="Arial"/>
          <w:b w:val="true"/>
        </w:rPr>
        <w:t xml:space="preserve">b) </w:t>
      </w:r>
      <w:r>
        <w:rPr>
          <w:rFonts w:ascii="Arial" w:hAnsi="Arial" w:eastAsia="Arial"/>
        </w:rPr>
        <w:t xml:space="preserve">ГБОУ ДО РК “Крымпатриотцентр”</w:t>
      </w:r>
      <w:r>
        <w:rPr>
          <w:rFonts w:ascii="Arial" w:hAnsi="Arial" w:eastAsia="Arial"/>
        </w:rPr>
        <w:t xml:space="preserve"> </w:t>
      </w:r>
      <w:r>
        <w:rPr>
          <w:rFonts w:ascii="Arial" w:hAnsi="Arial" w:eastAsia="Arial"/>
          <w:b w:val="true"/>
        </w:rPr>
        <w:t xml:space="preserve">Address:</w:t>
      </w:r>
      <w:r>
        <w:rPr>
          <w:rFonts w:ascii="Arial" w:hAnsi="Arial" w:eastAsia="Arial"/>
        </w:rPr>
        <w:t xml:space="preserve"> </w:t>
      </w:r>
      <w:r>
        <w:rPr>
          <w:rFonts w:ascii="Arial" w:hAnsi="Arial" w:eastAsia="Arial"/>
        </w:rPr>
        <w:t xml:space="preserve">Oktyabrya street 60, 13/64, Simferopol, Ukraine</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Crimea Patriot Centre is an organisation based in illegally annexed Crimea, with the main objective to provide schoolchildren in Crimea with a military-patriotic education in order to prepare them for service in Russia’s Armed Forces. The Crimea Patriot Centre cooperates with the All-Russia “Young Army” Military Patriotic Social Movement (Yunarmiya) to organise events and programmes for schoolchildren in support of the Russian Army and in support of Russia’s war of aggression against Ukraine. Those programmes have the aim of teaching children to use weapons. The centre also disseminates propaganda related to Russia’s war of aggression against Ukraine, glorifying soldiers who have participated in this. The Crimea Patriot Centre operates with the support of and financing by the Ministry of Defence of the Russian Federation and without the consent of the Ukrainian government.</w:t>
      </w:r>
      <w:r>
        <w:rPr>
          <w:rFonts w:ascii="Arial" w:hAnsi="Arial" w:eastAsia="Arial"/>
        </w:rPr>
        <w:t xml:space="preserve"> </w:t>
      </w:r>
      <w:r>
        <w:rPr>
          <w:rFonts w:ascii="Arial" w:hAnsi="Arial" w:eastAsia="Arial"/>
          <w:b w:val="true"/>
        </w:rPr>
        <w:t xml:space="preserve">b) </w:t>
      </w:r>
      <w:r>
        <w:rPr>
          <w:rFonts w:ascii="Arial" w:hAnsi="Arial" w:eastAsia="Arial"/>
        </w:rPr>
        <w:t xml:space="preserve">Therefore, it is supporting materially actions which undermine and threaten the territorial integrity, sovereignty and independence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Telephone: +7 (3652) 545-615</w:t>
      </w:r>
      <w:r>
        <w:rPr>
          <w:rFonts w:ascii="Arial" w:hAnsi="Arial" w:eastAsia="Arial"/>
        </w:rPr>
        <w:t xml:space="preserve"> </w:t>
      </w:r>
      <w:r>
        <w:rPr>
          <w:rFonts w:ascii="Arial" w:hAnsi="Arial" w:eastAsia="Arial"/>
          <w:b w:val="true"/>
        </w:rPr>
        <w:t xml:space="preserve">b) </w:t>
      </w:r>
      <w:r>
        <w:rPr>
          <w:rFonts w:ascii="Arial" w:hAnsi="Arial" w:eastAsia="Arial"/>
        </w:rPr>
        <w:t xml:space="preserve">Website: https://www.krympatriotcentr.ru/</w:t>
      </w:r>
      <w:r>
        <w:rPr>
          <w:rFonts w:ascii="Arial" w:hAnsi="Arial" w:eastAsia="Arial"/>
        </w:rPr>
        <w:t xml:space="preserve"> </w:t>
      </w:r>
      <w:r>
        <w:rPr>
          <w:rFonts w:ascii="Arial" w:hAnsi="Arial" w:eastAsia="Arial"/>
          <w:b w:val="true"/>
        </w:rPr>
        <w:t xml:space="preserve">c) </w:t>
      </w:r>
      <w:r>
        <w:rPr>
          <w:rFonts w:ascii="Arial" w:hAnsi="Arial" w:eastAsia="Arial"/>
        </w:rPr>
        <w:t xml:space="preserve">Type of entity: State budgetary educational institution of additional education</w:t>
      </w:r>
      <w:r>
        <w:rPr>
          <w:rFonts w:ascii="Arial" w:hAnsi="Arial" w:eastAsia="Arial"/>
        </w:rPr>
        <w:t xml:space="preserve"> </w:t>
      </w:r>
      <w:r>
        <w:rPr>
          <w:rFonts w:ascii="Arial" w:hAnsi="Arial" w:eastAsia="Arial"/>
          <w:b w:val="true"/>
        </w:rPr>
        <w:t xml:space="preserve">d) </w:t>
      </w:r>
      <w:r>
        <w:rPr>
          <w:rFonts w:ascii="Arial" w:hAnsi="Arial" w:eastAsia="Arial"/>
        </w:rPr>
        <w:t xml:space="preserve">Place of registration: Crimea, Ukraine</w:t>
      </w:r>
      <w:r>
        <w:rPr>
          <w:rFonts w:ascii="Arial" w:hAnsi="Arial" w:eastAsia="Arial"/>
        </w:rPr>
        <w:t xml:space="preserve"> </w:t>
      </w:r>
      <w:r>
        <w:rPr>
          <w:rFonts w:ascii="Arial" w:hAnsi="Arial" w:eastAsia="Arial"/>
          <w:b w:val="true"/>
        </w:rPr>
        <w:t xml:space="preserve">e) </w:t>
      </w:r>
      <w:r>
        <w:rPr>
          <w:rFonts w:ascii="Arial" w:hAnsi="Arial" w:eastAsia="Arial"/>
        </w:rPr>
        <w:t xml:space="preserve">Registration number: 1159102101180</w:t>
      </w:r>
      <w:r>
        <w:rPr>
          <w:rFonts w:ascii="Arial" w:hAnsi="Arial" w:eastAsia="Arial"/>
        </w:rPr>
        <w:t xml:space="preserve"> </w:t>
      </w:r>
      <w:r>
        <w:rPr>
          <w:rFonts w:ascii="Arial" w:hAnsi="Arial" w:eastAsia="Arial"/>
          <w:b w:val="true"/>
        </w:rPr>
        <w:t xml:space="preserve">f) </w:t>
      </w:r>
      <w:r>
        <w:rPr>
          <w:rFonts w:ascii="Arial" w:hAnsi="Arial" w:eastAsia="Arial"/>
        </w:rPr>
        <w:t xml:space="preserve">Principal place of business: Crimea, Ukraine</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21 Dec 2023</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6545" name="logoBund" descr="Logo Bund"/>
                <wp:cNvGraphicFramePr>
                  <a:graphicFrameLocks noChangeAspect="true"/>
                </wp:cNvGraphicFramePr>
                <a:graphic>
                  <a:graphicData uri="http://schemas.openxmlformats.org/drawingml/2006/picture">
                    <pic:pic>
                      <pic:nvPicPr>
                        <pic:cNvPr id="16546"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23.04.2025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