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175-50771</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Usmanov Alisher Burkhanovich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a) УСМАНОВ Алишер Бурханович (Russian) b) Usmonov Alisher Burkhanovich (Uzbek)</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9 Sep 1953</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Chust, Uzbekistan</w:t>
      </w:r>
      <w:r>
        <w:rPr>
          <w:rFonts w:ascii="Arial" w:hAnsi="Arial" w:eastAsia="Arial"/>
        </w:rPr>
        <w:t xml:space="preserve"> </w:t>
      </w:r>
      <w:r>
        <w:rPr>
          <w:rFonts w:ascii="Arial" w:hAnsi="Arial" w:eastAsia="Arial"/>
          <w:b w:val="true"/>
        </w:rPr>
        <w:t xml:space="preserve">Identification document:</w:t>
      </w:r>
      <w:r>
        <w:rPr>
          <w:rFonts w:ascii="Arial" w:hAnsi="Arial" w:eastAsia="Arial"/>
        </w:rPr>
        <w:t xml:space="preserve"> </w:t>
      </w:r>
      <w:r>
        <w:rPr>
          <w:rFonts w:ascii="Arial" w:hAnsi="Arial" w:eastAsia="Arial"/>
        </w:rPr>
        <w:t xml:space="preserve">Passport No. 55 0314316, Russian Federation, Date of issue: 6 Dec 2019, Expiry date: 6 Dec 2029</w:t>
      </w:r>
      <w:r>
        <w:rPr>
          <w:rFonts w:ascii="Arial" w:hAnsi="Arial" w:eastAsia="Arial"/>
        </w:rPr>
        <w:t xml:space="preserve"> </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Alisher Usmanov is a leading businessperson having interests in iron ore and steel, media, telecommunications and internet companies. Usmanov owns the largest stake in his USM holding, a global conglomerate of metals and mining, telecommunications and technology companies which includes Metalloinvest, Udokan Copper, Akkerman Cement, MegaFon and other assets. Usmanov, directly or through USM, owns and controls assets in key sectors of the Russian economy. His largest holding is the steel giant Metalloinvest, which, together with other companies, is operating in the mineral sector, providing a substantial source of revenue to the Russian Government. Therefore, he is a leading businessperson operating in Russia as well as a businessperson involved in an economic sector providing a substantial source of revenue to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b) </w:t>
      </w:r>
      <w:r>
        <w:rPr>
          <w:rFonts w:ascii="Arial" w:hAnsi="Arial" w:eastAsia="Arial"/>
        </w:rPr>
        <w:t xml:space="preserve">Alisher Usmanov has particularly close ties to the President of the Russian Federation, Vladimir Putin. He has been referred to as one of Vladimir Putin’s favourite leading businesspersons. He is considered to be one of Russia’s businesspersons-officials, who were entrusted with servicing financial flows but whose positions depend on the will of the President. Usmanov is reputed to have acted on behalf of the President of the Russian Federation in a number of business deals of political and strategic importance. He also has close ties with Dmitry Medvedev, the Deputy Chairman of the Security Council of the Russian Federation and former President and Prime Minister of Russia, who benefitted from the personal use of luxurious residences controlled by Usmanov.</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he actively supported materially or financially and benefitted from Russian decision-makers responsible for the annexation of Crimea and the destabilisation of Ukraine.</w:t>
      </w:r>
      <w:r>
        <w:rPr>
          <w:rFonts w:ascii="Arial" w:hAnsi="Arial" w:eastAsia="Arial"/>
        </w:rPr>
        <w:t xml:space="preserve"> </w:t>
      </w:r>
      <w:r>
        <w:rPr>
          <w:rFonts w:ascii="Arial" w:hAnsi="Arial" w:eastAsia="Arial"/>
          <w:b w:val="true"/>
        </w:rPr>
        <w:t xml:space="preserve">d) </w:t>
      </w:r>
      <w:r>
        <w:rPr>
          <w:rFonts w:ascii="Arial" w:hAnsi="Arial" w:eastAsia="Arial"/>
        </w:rPr>
        <w:t xml:space="preserve">Usmanov is also the exclusive owner of the business daily Kommersant. When he took control of the business daily “Kommersant”, the freedom of the editorial staff was curtailed and the newspaper took a manifestly pro-Kremlin stance. Kommersant under Usmanov’s ownership published a propagandist anti-Ukrainian article by Dmitry Medvedev, in which the former President of Russia argued that it was meaningless to engage in talks with the current Ukrainian authorities, who in his opinion were under direct foreign control. Therefore he actively supported the Russian government’s policies of destabilisation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rPr>
        <w:t xml:space="preserve">Function: leading Russian businessperson</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4 Mar 2022, amended on 2 Nov 2023, 13 Dec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537" name="logoBund" descr="Logo Bund"/>
                <wp:cNvGraphicFramePr>
                  <a:graphicFrameLocks noChangeAspect="true"/>
                </wp:cNvGraphicFramePr>
                <a:graphic>
                  <a:graphicData uri="http://schemas.openxmlformats.org/drawingml/2006/picture">
                    <pic:pic>
                      <pic:nvPicPr>
                        <pic:cNvPr id="53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