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175-52931</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Timchenko Elena Petrovna</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ТИМЧЕНКО Елена Петровна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W</w:t>
      </w:r>
      <w:r>
        <w:rPr>
          <w:rFonts w:ascii="Arial" w:hAnsi="Arial" w:eastAsia="Arial"/>
        </w:rPr>
        <w:t xml:space="preserve"> </w:t>
      </w:r>
      <w:r>
        <w:rPr>
          <w:rFonts w:ascii="Arial" w:hAnsi="Arial" w:eastAsia="Arial"/>
          <w:b w:val="true"/>
        </w:rPr>
        <w:t xml:space="preserve">Good quality a.k.a.: </w:t>
      </w:r>
      <w:r>
        <w:rPr>
          <w:rFonts w:ascii="Arial" w:hAnsi="Arial" w:eastAsia="Arial"/>
        </w:rPr>
        <w:t xml:space="preserve">Ermakova (ЕРМАКОВА, Yermakova)</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b w:val="true"/>
        </w:rPr>
        <w:t xml:space="preserve">a) </w:t>
      </w:r>
      <w:r>
        <w:rPr>
          <w:rFonts w:ascii="Arial" w:hAnsi="Arial" w:eastAsia="Arial"/>
        </w:rPr>
        <w:t xml:space="preserve">Russian Federation</w:t>
      </w:r>
      <w:r>
        <w:rPr>
          <w:rFonts w:ascii="Arial" w:hAnsi="Arial" w:eastAsia="Arial"/>
        </w:rPr>
        <w:t xml:space="preserve"> </w:t>
      </w:r>
      <w:r>
        <w:rPr>
          <w:rFonts w:ascii="Arial" w:hAnsi="Arial" w:eastAsia="Arial"/>
          <w:b w:val="true"/>
        </w:rPr>
        <w:t xml:space="preserve">b) </w:t>
      </w:r>
      <w:r>
        <w:rPr>
          <w:rFonts w:ascii="Arial" w:hAnsi="Arial" w:eastAsia="Arial"/>
        </w:rPr>
        <w:t xml:space="preserve">Finland</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Elena Timchenko is the wife of Gennady Timchenko, a long-time acquaintance of the President of the Russian Federation, Vladimir Putin, and one of his confidants.</w:t>
      </w:r>
      <w:r>
        <w:rPr>
          <w:rFonts w:ascii="Arial" w:hAnsi="Arial" w:eastAsia="Arial"/>
        </w:rPr>
        <w:t xml:space="preserve"> </w:t>
      </w:r>
      <w:r>
        <w:rPr>
          <w:rFonts w:ascii="Arial" w:hAnsi="Arial" w:eastAsia="Arial"/>
          <w:b w:val="true"/>
        </w:rPr>
        <w:t xml:space="preserve">b) </w:t>
      </w:r>
      <w:r>
        <w:rPr>
          <w:rFonts w:ascii="Arial" w:hAnsi="Arial" w:eastAsia="Arial"/>
        </w:rPr>
        <w:t xml:space="preserve">She manages, together with her husband, the real estate company Sci Ruth and has acquired real estate jointly with him, which demonstrates important property ties between them.</w:t>
      </w:r>
      <w:r>
        <w:rPr>
          <w:rFonts w:ascii="Arial" w:hAnsi="Arial" w:eastAsia="Arial"/>
        </w:rPr>
        <w:t xml:space="preserve"> </w:t>
      </w:r>
      <w:r>
        <w:rPr>
          <w:rFonts w:ascii="Arial" w:hAnsi="Arial" w:eastAsia="Arial"/>
          <w:b w:val="true"/>
        </w:rPr>
        <w:t xml:space="preserve">c) </w:t>
      </w:r>
      <w:r>
        <w:rPr>
          <w:rFonts w:ascii="Arial" w:hAnsi="Arial" w:eastAsia="Arial"/>
        </w:rPr>
        <w:t xml:space="preserve">Furthermore, she co-founded with her husband the Neva Foundation. Elena Timchenko plays an important role and is closely associated with her husband in the Timchenko Foundation that carries out some of its activities in connection with the Volga Group investment group, of which Gennady Timchenko is founder and shareholder and that contributes significantly to the economy of Russia and its development.</w:t>
      </w:r>
      <w:r>
        <w:rPr>
          <w:rFonts w:ascii="Arial" w:hAnsi="Arial" w:eastAsia="Arial"/>
        </w:rPr>
        <w:t xml:space="preserve"> </w:t>
      </w:r>
      <w:r>
        <w:rPr>
          <w:rFonts w:ascii="Arial" w:hAnsi="Arial" w:eastAsia="Arial"/>
          <w:b w:val="true"/>
        </w:rPr>
        <w:t xml:space="preserve">d) </w:t>
      </w:r>
      <w:r>
        <w:rPr>
          <w:rFonts w:ascii="Arial" w:hAnsi="Arial" w:eastAsia="Arial"/>
        </w:rPr>
        <w:t xml:space="preserve">Elena Timchenko is therefore associated with Gennady Timchenko, who is designated under Council Decision 2014/145/CFSP on the grounds, inter alia, that he is responsible for supporting actions and policies which undermine the territorial integrity, sovereignty and independence of Ukraine and for providing financial and material support, and benefitting from Russian decision-makers responsible for the annexation of Crimea and the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Co-president of the Foundation Timchenko</w:t>
      </w:r>
      <w:r>
        <w:rPr>
          <w:rFonts w:ascii="Arial" w:hAnsi="Arial" w:eastAsia="Arial"/>
        </w:rPr>
        <w:t xml:space="preserve"> </w:t>
      </w:r>
      <w:r>
        <w:rPr>
          <w:rFonts w:ascii="Arial" w:hAnsi="Arial" w:eastAsia="Arial"/>
          <w:b w:val="true"/>
        </w:rPr>
        <w:t xml:space="preserve">b) </w:t>
      </w:r>
      <w:r>
        <w:rPr>
          <w:rFonts w:ascii="Arial" w:hAnsi="Arial" w:eastAsia="Arial"/>
        </w:rPr>
        <w:t xml:space="preserve">Associated individual: Gennady Timchenko (husband)</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13 Apr 2022, amended on 2 Nov 2023, 22 Mar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285" name="logoBund" descr="Logo Bund"/>
                <wp:cNvGraphicFramePr>
                  <a:graphicFrameLocks noChangeAspect="true"/>
                </wp:cNvGraphicFramePr>
                <a:graphic>
                  <a:graphicData uri="http://schemas.openxmlformats.org/drawingml/2006/picture">
                    <pic:pic>
                      <pic:nvPicPr>
                        <pic:cNvPr id="286"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13.12.2025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