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Verordnung vom 4. März 2022 über Massnahmen im Zusammenhang mit der Situation in der Ukraine (SR 946.231.176.72), Anhänge 2, 8, 9, 10, 11, 12, 13, 14, 14a, 15, 15a, 15b, 25 und 33</w:t>
      </w:r>
      <w:r>
        <w:br/>
      </w:r>
      <w:r>
        <w:rPr>
          <w:rFonts w:ascii="Arial" w:hAnsi="Arial" w:eastAsia="Arial"/>
          <w:i w:val="true"/>
        </w:rPr>
        <w:t xml:space="preserve">Art 15 Abs. 1 und 4 (Finanzsanktionen) und Art. 29 Abs. 1 (Ein- und Durchreiseverbot), Anhang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Individuals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175-51272</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Pumpyansky Alexander Dmitrievich</w:t>
      </w:r>
      <w:r>
        <w:rPr>
          <w:rFonts w:ascii="Arial" w:hAnsi="Arial" w:eastAsia="Arial"/>
        </w:rPr>
        <w:t xml:space="preserve"> </w:t>
      </w:r>
      <w:r>
        <w:rPr>
          <w:rFonts w:ascii="Arial" w:hAnsi="Arial" w:eastAsia="Arial"/>
          <w:b w:val="true"/>
        </w:rPr>
        <w:t xml:space="preserve">Spelling variant: </w:t>
      </w:r>
      <w:r>
        <w:rPr>
          <w:rFonts w:ascii="Arial" w:hAnsi="Arial" w:eastAsia="Arial"/>
        </w:rPr>
        <w:t xml:space="preserve">ПУМПЯНСКИЙ Александр Дмитриевич (Russian)</w:t>
      </w:r>
      <w:r>
        <w:rPr>
          <w:rFonts w:ascii="Arial" w:hAnsi="Arial" w:eastAsia="Arial"/>
        </w:rPr>
        <w:t xml:space="preserve"> </w:t>
      </w:r>
      <w:r>
        <w:br/>
      </w:r>
      <w:r>
        <w:rPr>
          <w:rFonts w:ascii="Arial" w:hAnsi="Arial" w:eastAsia="Arial"/>
          <w:b w:val="true"/>
        </w:rPr>
        <w:t xml:space="preserve">Sex:</w:t>
      </w:r>
      <w:r>
        <w:rPr>
          <w:rFonts w:ascii="Arial" w:hAnsi="Arial" w:eastAsia="Arial"/>
        </w:rPr>
        <w:t xml:space="preserve"> </w:t>
      </w:r>
      <w:r>
        <w:rPr>
          <w:rFonts w:ascii="Arial" w:hAnsi="Arial" w:eastAsia="Arial"/>
        </w:rPr>
        <w:t xml:space="preserve">M</w:t>
      </w:r>
      <w:r>
        <w:rPr>
          <w:rFonts w:ascii="Arial" w:hAnsi="Arial" w:eastAsia="Arial"/>
        </w:rPr>
        <w:t xml:space="preserve"> </w:t>
      </w:r>
      <w:r>
        <w:rPr>
          <w:rFonts w:ascii="Arial" w:hAnsi="Arial" w:eastAsia="Arial"/>
          <w:b w:val="true"/>
        </w:rPr>
        <w:t xml:space="preserve">DOB: </w:t>
      </w:r>
      <w:r>
        <w:rPr>
          <w:rFonts w:ascii="Arial" w:hAnsi="Arial" w:eastAsia="Arial"/>
        </w:rPr>
        <w:t xml:space="preserve">16 May 1987</w:t>
      </w:r>
      <w:r>
        <w:rPr>
          <w:rFonts w:ascii="Arial" w:hAnsi="Arial" w:eastAsia="Arial"/>
        </w:rPr>
        <w:t xml:space="preserve"> </w:t>
      </w:r>
      <w:r>
        <w:rPr>
          <w:rFonts w:ascii="Arial" w:hAnsi="Arial" w:eastAsia="Arial"/>
          <w:b w:val="true"/>
        </w:rPr>
        <w:t xml:space="preserve">POB:</w:t>
      </w:r>
      <w:r>
        <w:rPr>
          <w:rFonts w:ascii="Arial" w:hAnsi="Arial" w:eastAsia="Arial"/>
        </w:rPr>
        <w:t xml:space="preserve"> </w:t>
      </w:r>
      <w:r>
        <w:rPr>
          <w:rFonts w:ascii="Arial" w:hAnsi="Arial" w:eastAsia="Arial"/>
        </w:rPr>
        <w:t xml:space="preserve">Yekaterinburg, Russian Federation</w:t>
      </w:r>
      <w:r>
        <w:rPr>
          <w:rFonts w:ascii="Arial" w:hAnsi="Arial" w:eastAsia="Arial"/>
        </w:rPr>
        <w:t xml:space="preserve"> </w:t>
      </w:r>
      <w:r>
        <w:rPr>
          <w:rFonts w:ascii="Arial" w:hAnsi="Arial" w:eastAsia="Arial"/>
          <w:b w:val="true"/>
        </w:rPr>
        <w:t xml:space="preserve">Nationality:</w:t>
      </w:r>
      <w:r>
        <w:rPr>
          <w:rFonts w:ascii="Arial" w:hAnsi="Arial" w:eastAsia="Arial"/>
        </w:rPr>
        <w:t xml:space="preserve"> </w:t>
      </w:r>
      <w:r>
        <w:rPr>
          <w:rFonts w:ascii="Arial" w:hAnsi="Arial" w:eastAsia="Arial"/>
        </w:rPr>
        <w:t xml:space="preserve">Russian Federation</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b w:val="true"/>
        </w:rPr>
        <w:t xml:space="preserve">a) </w:t>
      </w:r>
      <w:r>
        <w:rPr>
          <w:rFonts w:ascii="Arial" w:hAnsi="Arial" w:eastAsia="Arial"/>
        </w:rPr>
        <w:t xml:space="preserve">Alexander Pumpyansky is the son of Dmitry Pumpyansky. Dmitry Pumpyansky is a Russian businessperson, Co-Chairman of the RSPP Committee on Industrial Policy and Technical Regulation, now Committee on Technical Regulation and President of the Sverdlovsk regional Union of Industrialists and Entrepreneurs (SOSPP) and a former member of the Council of Chamber of Commerce and Industry (CCI) of the Russian Federation. Dmitry Pumpyansky is also former Chairman of the Board of Directors of PJSC Pipe Metallurgical Company, a Russian global manufacturer of steel pipes for the oil and gas industry, and former President and a former board member of Group Sinara. Both companies support and benefit from cooperation with authorities of Russian Federation and State-owned enterprises, including Russian railways, Gazprom and Rosneft.</w:t>
      </w:r>
      <w:r>
        <w:rPr>
          <w:rFonts w:ascii="Arial" w:hAnsi="Arial" w:eastAsia="Arial"/>
        </w:rPr>
        <w:t xml:space="preserve"> </w:t>
      </w:r>
      <w:r>
        <w:rPr>
          <w:rFonts w:ascii="Arial" w:hAnsi="Arial" w:eastAsia="Arial"/>
          <w:b w:val="true"/>
        </w:rPr>
        <w:t xml:space="preserve">b) </w:t>
      </w:r>
      <w:r>
        <w:rPr>
          <w:rFonts w:ascii="Arial" w:hAnsi="Arial" w:eastAsia="Arial"/>
        </w:rPr>
        <w:t xml:space="preserve">Because of his family relationship to Dmitry Pumpyanskiy, Alexander Pumpyansky served on the Board of Directors of PJSC Pipe Metallurgical Company and Group Sinara.</w:t>
      </w:r>
      <w:r>
        <w:rPr>
          <w:rFonts w:ascii="Arial" w:hAnsi="Arial" w:eastAsia="Arial"/>
        </w:rPr>
        <w:t xml:space="preserve"> </w:t>
      </w:r>
      <w:r>
        <w:rPr>
          <w:rFonts w:ascii="Arial" w:hAnsi="Arial" w:eastAsia="Arial"/>
          <w:b w:val="true"/>
        </w:rPr>
        <w:t xml:space="preserve">c) </w:t>
      </w:r>
      <w:r>
        <w:rPr>
          <w:rFonts w:ascii="Arial" w:hAnsi="Arial" w:eastAsia="Arial"/>
        </w:rPr>
        <w:t xml:space="preserve">Alexander and Dmitry Pumpyansky own significant assets in common through their ultimate beneficial ownership of, and positions of responsibility within, the holding company Furdberg Holding Limited.</w:t>
      </w:r>
      <w:r>
        <w:rPr>
          <w:rFonts w:ascii="Arial" w:hAnsi="Arial" w:eastAsia="Arial"/>
        </w:rPr>
        <w:t xml:space="preserve"> </w:t>
      </w:r>
      <w:r>
        <w:rPr>
          <w:rFonts w:ascii="Arial" w:hAnsi="Arial" w:eastAsia="Arial"/>
          <w:b w:val="true"/>
        </w:rPr>
        <w:t xml:space="preserve">d) </w:t>
      </w:r>
      <w:r>
        <w:rPr>
          <w:rFonts w:ascii="Arial" w:hAnsi="Arial" w:eastAsia="Arial"/>
        </w:rPr>
        <w:t xml:space="preserve">In anticipation of being included in the Annex to Decision 2014/145/CFSP, Alexander and Dmitry Pumpyansky coordinated their response by simultaneously resigning their positions in PJSC Pipe Metallurgical Company and Group Sinara. Alexander Pumpyansky derived significant financial benefit from those companies on that occasion.</w:t>
      </w:r>
      <w:r>
        <w:rPr>
          <w:rFonts w:ascii="Arial" w:hAnsi="Arial" w:eastAsia="Arial"/>
        </w:rPr>
        <w:t xml:space="preserve"> </w:t>
      </w:r>
      <w:r>
        <w:rPr>
          <w:rFonts w:ascii="Arial" w:hAnsi="Arial" w:eastAsia="Arial"/>
          <w:b w:val="true"/>
        </w:rPr>
        <w:t xml:space="preserve">e) </w:t>
      </w:r>
      <w:r>
        <w:rPr>
          <w:rFonts w:ascii="Arial" w:hAnsi="Arial" w:eastAsia="Arial"/>
        </w:rPr>
        <w:t xml:space="preserve">Alexander and Dmitry Pumpyansky further coordinated their response to the Union’s restrictive measures by ceding nominal control of assets previously owned by Furdberg Holding Limited to closely associated persons.</w:t>
      </w:r>
      <w:r>
        <w:rPr>
          <w:rFonts w:ascii="Arial" w:hAnsi="Arial" w:eastAsia="Arial"/>
        </w:rPr>
        <w:t xml:space="preserve"> </w:t>
      </w:r>
      <w:r>
        <w:rPr>
          <w:rFonts w:ascii="Arial" w:hAnsi="Arial" w:eastAsia="Arial"/>
          <w:b w:val="true"/>
        </w:rPr>
        <w:t xml:space="preserve">f) </w:t>
      </w:r>
      <w:r>
        <w:rPr>
          <w:rFonts w:ascii="Arial" w:hAnsi="Arial" w:eastAsia="Arial"/>
        </w:rPr>
        <w:t xml:space="preserve">Alexander Pumpyansky is therefore an immediate family member benefitting from his father, Dmitry Pumpyansky, a leading businessperson operating in Russia and involved in economic sectors providing a substantial source of revenue to the Government of the Russian Federation, which is responsible for the annexation of Crimea and the destabilisation of Ukraine. Alexander and Dmitry Pumpyansky continue to coordinate their response to Union restrictive measures and the management of the assets they hold in common.</w:t>
      </w:r>
      <w:r>
        <w:rPr>
          <w:rFonts w:ascii="Arial" w:hAnsi="Arial" w:eastAsia="Arial"/>
        </w:rPr>
        <w:t xml:space="preserve"> </w:t>
      </w:r>
      <w:r>
        <w:rPr>
          <w:rFonts w:ascii="Arial" w:hAnsi="Arial" w:eastAsia="Arial"/>
          <w:b w:val="true"/>
        </w:rPr>
        <w:t xml:space="preserve">Other information:</w:t>
      </w:r>
      <w:r>
        <w:rPr>
          <w:rFonts w:ascii="Arial" w:hAnsi="Arial" w:eastAsia="Arial"/>
        </w:rPr>
        <w:t xml:space="preserve"> </w:t>
      </w:r>
      <w:r>
        <w:rPr>
          <w:rFonts w:ascii="Arial" w:hAnsi="Arial" w:eastAsia="Arial"/>
          <w:b w:val="true"/>
        </w:rPr>
        <w:t xml:space="preserve">a) </w:t>
      </w:r>
      <w:r>
        <w:rPr>
          <w:rFonts w:ascii="Arial" w:hAnsi="Arial" w:eastAsia="Arial"/>
        </w:rPr>
        <w:t xml:space="preserve">Function: former Chairman of the Board of Directors of PJSC Pipe Metallurgical Company</w:t>
      </w:r>
      <w:r>
        <w:rPr>
          <w:rFonts w:ascii="Arial" w:hAnsi="Arial" w:eastAsia="Arial"/>
        </w:rPr>
        <w:t xml:space="preserve"> </w:t>
      </w:r>
      <w:r>
        <w:rPr>
          <w:rFonts w:ascii="Arial" w:hAnsi="Arial" w:eastAsia="Arial"/>
          <w:b w:val="true"/>
        </w:rPr>
        <w:t xml:space="preserve">b) </w:t>
      </w:r>
      <w:r>
        <w:rPr>
          <w:rFonts w:ascii="Arial" w:hAnsi="Arial" w:eastAsia="Arial"/>
        </w:rPr>
        <w:t xml:space="preserve">NOT SUBJECT TO TRAVEL RESTRICTIONS ACCORDING TO ARTICLE 29(1)</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16 Mar 2022, amended on 2 Nov 2023, 22 Mar 2024, 24 Sep 2024, 30 Sep 2025</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445" name="logoBund" descr="Logo Bund"/>
                <wp:cNvGraphicFramePr>
                  <a:graphicFrameLocks noChangeAspect="true"/>
                </wp:cNvGraphicFramePr>
                <a:graphic>
                  <a:graphicData uri="http://schemas.openxmlformats.org/drawingml/2006/picture">
                    <pic:pic>
                      <pic:nvPicPr>
                        <pic:cNvPr id="446"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Eidgenössisches Departement für</w:t>
          </w:r>
        </w:p>
        <w:p>
          <w:pPr>
            <w:spacing w:before="0" w:after="100" w:line="200" w:lineRule="exact"/>
            <w:rPr>
              <w:rFonts w:ascii="Arial" w:hAnsi="Arial" w:cs="Arial"/>
              <w:sz w:val="15"/>
              <w:szCs w:val="15"/>
            </w:rPr>
          </w:pPr>
          <w:r>
            <w:rPr>
              <w:rFonts w:ascii="Arial" w:hAnsi="Arial" w:cs="Arial"/>
              <w:sz w:val="15"/>
              <w:szCs w:val="15"/>
            </w:rPr>
            <w:t>Wirtschaft, Bildung und Forschung WBF</w:t>
          </w:r>
        </w:p>
        <w:p>
          <w:pPr>
            <w:spacing w:before="0" w:after="0" w:line="200" w:lineRule="exact"/>
            <w:rPr>
              <w:rFonts w:ascii="Arial" w:hAnsi="Arial" w:cs="Arial"/>
              <w:sz w:val="15"/>
              <w:szCs w:val="15"/>
            </w:rPr>
          </w:pPr>
          <w:r>
            <w:rPr>
              <w:rFonts w:ascii="Arial" w:hAnsi="Arial" w:cs="Arial"/>
              <w:b w:val="true"/>
              <w:sz w:val="15"/>
              <w:szCs w:val="15"/>
            </w:rPr>
            <w:t>Staatssekretariat für Wirtschaft SECO</w:t>
          </w:r>
        </w:p>
        <w:p>
          <w:pPr>
            <w:spacing w:before="0" w:after="0" w:line="200" w:lineRule="exact"/>
            <w:rPr>
              <w:rFonts w:ascii="Arial" w:hAnsi="Arial" w:cs="Arial"/>
              <w:sz w:val="15"/>
              <w:szCs w:val="15"/>
            </w:rPr>
          </w:pPr>
          <w:r>
            <w:rPr>
              <w:rFonts w:ascii="Arial" w:hAnsi="Arial" w:cs="Arial"/>
              <w:sz w:val="15"/>
              <w:szCs w:val="15"/>
            </w:rPr>
            <w:t>Bilaterale Wirtschaftsbeziehungen</w:t>
          </w:r>
        </w:p>
        <w:p>
          <w:pPr>
            <w:spacing w:before="0" w:after="400" w:line="200" w:lineRule="exact"/>
            <w:rPr>
              <w:rFonts w:ascii="Arial" w:hAnsi="Arial" w:cs="Arial"/>
              <w:sz w:val="15"/>
              <w:szCs w:val="15"/>
            </w:rPr>
          </w:pPr>
          <w:r>
            <w:rPr>
              <w:rFonts w:ascii="Arial" w:hAnsi="Arial" w:cs="Arial"/>
              <w:sz w:val="15"/>
              <w:szCs w:val="15"/>
            </w:rPr>
            <w:t>Sanktionen</w:t>
          </w:r>
        </w:p>
        <w:p>
          <w:pPr>
            <w:spacing w:before="0" w:after="400" w:line="200" w:lineRule="exact"/>
            <w:rPr>
              <w:rFonts w:ascii="Arial" w:hAnsi="Arial" w:cs="Arial"/>
              <w:sz w:val="15"/>
              <w:szCs w:val="15"/>
            </w:rPr>
          </w:pPr>
          <w:r>
            <w:rPr>
              <w:rFonts w:ascii="Arial" w:hAnsi="Arial" w:cs="Arial"/>
              <w:sz w:val="15"/>
              <w:szCs w:val="15"/>
            </w:rPr>
            <w:t>Version vom 13.01.2026</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